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1.png" ContentType="image/png"/>
  <Override PartName="/word/media/rId57.png" ContentType="image/png"/>
  <Override PartName="/word/media/rId48.png" ContentType="image/png"/>
  <Override PartName="/word/media/rId53.png" ContentType="image/png"/>
  <Override PartName="/word/media/rId52.png" ContentType="image/png"/>
  <Override PartName="/word/media/rId56.png" ContentType="image/png"/>
  <Override PartName="/word/media/rId50.png" ContentType="image/png"/>
  <Override PartName="/word/media/rId58.png" ContentType="image/png"/>
  <Override PartName="/word/media/rId55.png" ContentType="image/png"/>
  <Override PartName="/word/media/rId54.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Wed May 9 10:11:02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the Stream Classification and Priority Explorer (SCAPE),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considered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w:t>
      </w:r>
      <w:r>
        <w:t xml:space="preserve"> </w:t>
      </w:r>
      <w:r>
        <w:t xml:space="preserve">Cormier et al. (</w:t>
      </w:r>
      <w:hyperlink w:anchor="ref-Cormier13">
        <w:r>
          <w:rPr>
            <w:rStyle w:val="Hyperlink"/>
          </w:rPr>
          <w:t xml:space="preserve">2013</w:t>
        </w:r>
      </w:hyperlink>
      <w:r>
        <w:t xml:space="preserve">)</w:t>
      </w:r>
      <w:r>
        <w:t xml:space="preserve">).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cost-prohibitive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given landscape constraints could be developed with predictive models. Previous efforts have focused on using geospatial data to predict biological condition at regional or national scales. Initial efforts have focused on classifying biological condition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is possible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high biological condition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works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proposed development and/or projects;</w:t>
      </w:r>
    </w:p>
    <w:p>
      <w:pPr>
        <w:pStyle w:val="Compact"/>
        <w:numPr>
          <w:numId w:val="1001"/>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twenty-seven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(5th/95th to 45th/55th at 5% intervals)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the highest level of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FirstParagraph"/>
      </w:pPr>
      <w:r>
        <w:t xml:space="preserve">The landscape models were able to identify the location and extent of biologically constrained channels at the state level and major regions in California. Our application to the SGR watershed demonstrated how the results of the model can be used at the scale of an individual watershed through close interaction with a regional stakeholder group with direct interests in managing the local resources. Overall, the models provide tools that allow managers to determine how best to use limited resources for stream management by focusing on reaches where recommended actions are most likely to have the intended outcome of improving or protecting biological condition. The approach also leverages all available information to develop a context for biological assessment that provides an unambiguous expectation of what is likely to be achieved at any sampling location. This can facilitate more targeted management actions that vary depending on the identified context and can also inform decisions on extent and effort for future monitoring locations.</w:t>
      </w:r>
    </w:p>
    <w:p>
      <w:pPr>
        <w:pStyle w:val="BodyText"/>
      </w:pPr>
      <w:r>
        <w:t xml:space="preserve">Results from our analyses also have implications for determining biological impairments under state or federal water quality mandates. The landscape models could be used to refine the list of potential sites that are not meeting biological criteria by identifying locations that are expected to achieve improved biological condition relative to those that are less likely to improve relative to landscape constraints. This can provide flexibility by focusing effots in locations that can be most effectively targeted for actions such as TMDL limits or review of permitting. Further, the ability to evaluate the effects of changing proposed biological thresholds (e.g., tenth percentile of scores at reference sites) and certainty in the model conclusions (i.e., range of biological expectations) on the location and extent of constrained channels provides a means of choosing alternative scenarios for rule-making. A critical objective in allowing this flexibility is not to enable a discounts against sites that are less likely to achieve potential criteria, but rather to facilitate the decision-making process through a more transparent application of the model. Our results showing the change in stream length statewide and by region as related to potential thresholds and model certainty is a direct demonstration of this concept. This exercise could also be downscaled to an individual watershed to aid in rule-making.</w:t>
      </w:r>
    </w:p>
    <w:p>
      <w:pPr>
        <w:pStyle w:val="Compact"/>
        <w:numPr>
          <w:numId w:val="1002"/>
          <w:ilvl w:val="0"/>
        </w:numPr>
      </w:pPr>
      <w:r>
        <w:t xml:space="preserve">What is useful about our approach compared to alternatives?</w:t>
      </w:r>
    </w:p>
    <w:p>
      <w:pPr>
        <w:pStyle w:val="Compact"/>
        <w:numPr>
          <w:numId w:val="1003"/>
          <w:ilvl w:val="1"/>
        </w:numPr>
      </w:pPr>
      <w:r>
        <w:t xml:space="preserve">Field-based methods to identify constrained channels vs. landscape modelling</w:t>
      </w:r>
    </w:p>
    <w:p>
      <w:pPr>
        <w:pStyle w:val="Compact"/>
        <w:numPr>
          <w:numId w:val="1003"/>
          <w:ilvl w:val="1"/>
        </w:numPr>
      </w:pPr>
      <w:r>
        <w:t xml:space="preserve">Related directly to biological condition and regulatory standards</w:t>
      </w:r>
    </w:p>
    <w:p>
      <w:pPr>
        <w:pStyle w:val="Compact"/>
        <w:numPr>
          <w:numId w:val="1003"/>
          <w:ilvl w:val="1"/>
        </w:numPr>
      </w:pPr>
      <w:r>
        <w:t xml:space="preserve">Results are widely corraborated by other landscape studies - land use is big determinant of macroinvert assemblage</w:t>
      </w:r>
    </w:p>
    <w:p>
      <w:pPr>
        <w:pStyle w:val="Compact"/>
        <w:numPr>
          <w:numId w:val="1002"/>
          <w:ilvl w:val="0"/>
        </w:numPr>
      </w:pPr>
      <w:r>
        <w:t xml:space="preserve">What contributed to our success in defining priorities?</w:t>
      </w:r>
    </w:p>
    <w:p>
      <w:pPr>
        <w:pStyle w:val="Compact"/>
        <w:numPr>
          <w:numId w:val="1004"/>
          <w:ilvl w:val="1"/>
        </w:numPr>
      </w:pPr>
      <w:r>
        <w:t xml:space="preserve">Stakeholder involvement guided process, contributed to achieving goals</w:t>
      </w:r>
    </w:p>
    <w:p>
      <w:pPr>
        <w:pStyle w:val="Compact"/>
        <w:numPr>
          <w:numId w:val="1004"/>
          <w:ilvl w:val="1"/>
        </w:numPr>
      </w:pPr>
      <w:r>
        <w:t xml:space="preserve">An interactive/iterative approach was used - we provided tools to facilitate (web apps) and we did not assume priorities</w:t>
      </w:r>
    </w:p>
    <w:p>
      <w:pPr>
        <w:pStyle w:val="Compact"/>
        <w:numPr>
          <w:numId w:val="1002"/>
          <w:ilvl w:val="0"/>
        </w:numPr>
      </w:pPr>
      <w:r>
        <w:t xml:space="preserve">Caveats of our aproach</w:t>
      </w:r>
    </w:p>
    <w:p>
      <w:pPr>
        <w:pStyle w:val="Compact"/>
        <w:numPr>
          <w:numId w:val="1005"/>
          <w:ilvl w:val="1"/>
        </w:numPr>
      </w:pPr>
      <w:r>
        <w:t xml:space="preserve">This analysis doesn’t truly tell us if a site can be fixed or if the conditions are truly constrained (key message, need to mention in intro)</w:t>
      </w:r>
    </w:p>
    <w:p>
      <w:pPr>
        <w:pStyle w:val="Compact"/>
        <w:numPr>
          <w:numId w:val="1005"/>
          <w:ilvl w:val="1"/>
        </w:numPr>
      </w:pPr>
      <w:r>
        <w:t xml:space="preserve">What do priorities really mean? Depends on your interests, needs, values, etc.</w:t>
      </w:r>
    </w:p>
    <w:p>
      <w:pPr>
        <w:pStyle w:val="Compact"/>
        <w:numPr>
          <w:numId w:val="1005"/>
          <w:ilvl w:val="1"/>
        </w:numPr>
      </w:pPr>
      <w:r>
        <w:t xml:space="preserve">Constrained may not always mean constrained - CSCI vs other biological indicators</w:t>
      </w:r>
    </w:p>
    <w:p>
      <w:pPr>
        <w:pStyle w:val="Compact"/>
        <w:numPr>
          <w:numId w:val="1005"/>
          <w:ilvl w:val="1"/>
        </w:numPr>
      </w:pPr>
      <w:r>
        <w:t xml:space="preserve">Site-specific approaches are warranted in certain cases</w:t>
      </w:r>
    </w:p>
    <w:p>
      <w:pPr>
        <w:pStyle w:val="Compact"/>
        <w:numPr>
          <w:numId w:val="1005"/>
          <w:ilvl w:val="1"/>
        </w:numPr>
      </w:pPr>
      <w:r>
        <w:t xml:space="preserve">Changing certainty or CSCI treshold - mechanistic effects and implications. Don’t cook the books.</w:t>
      </w:r>
    </w:p>
    <w:p>
      <w:pPr>
        <w:pStyle w:val="Compact"/>
        <w:numPr>
          <w:numId w:val="1002"/>
          <w:ilvl w:val="0"/>
        </w:numPr>
      </w:pPr>
      <w:r>
        <w:t xml:space="preserve">Future work</w:t>
      </w:r>
    </w:p>
    <w:p>
      <w:pPr>
        <w:pStyle w:val="Compact"/>
        <w:numPr>
          <w:numId w:val="1006"/>
          <w:ilvl w:val="1"/>
        </w:numPr>
      </w:pPr>
      <w:r>
        <w:t xml:space="preserve">Ability to link with other assessment tools besides CSCI</w:t>
      </w:r>
    </w:p>
    <w:p>
      <w:pPr>
        <w:pStyle w:val="Compact"/>
        <w:numPr>
          <w:numId w:val="1006"/>
          <w:ilvl w:val="1"/>
        </w:numPr>
      </w:pPr>
      <w:r>
        <w:t xml:space="preserve">Link with engineered channels study</w:t>
      </w:r>
    </w:p>
    <w:p>
      <w:pPr>
        <w:pStyle w:val="Compact"/>
        <w:numPr>
          <w:numId w:val="1006"/>
          <w:ilvl w:val="1"/>
        </w:numPr>
      </w:pPr>
      <w:r>
        <w:t xml:space="preserve">Priorities statewide</w:t>
      </w:r>
    </w:p>
    <w:p>
      <w:pPr>
        <w:pStyle w:val="Compact"/>
        <w:numPr>
          <w:numId w:val="1006"/>
          <w:ilvl w:val="1"/>
        </w:numPr>
      </w:pPr>
      <w:r>
        <w:t xml:space="preserve">Application to larger regions possible (national-scale), or how it can be applied in other areas</w:t>
      </w:r>
    </w:p>
    <w:p>
      <w:pPr>
        <w:pStyle w:val="Heading1"/>
      </w:pPr>
      <w:bookmarkStart w:id="45" w:name="supplement"/>
      <w:r>
        <w:t xml:space="preserve">Supplement</w:t>
      </w:r>
      <w:bookmarkEnd w:id="45"/>
    </w:p>
    <w:p>
      <w:pPr>
        <w:pStyle w:val="FirstParagraph"/>
      </w:pPr>
      <w:r>
        <w:t xml:space="preserve">The SCAPE model application website:</w:t>
      </w:r>
      <w:r>
        <w:t xml:space="preserve"> </w:t>
      </w:r>
      <w:hyperlink r:id="rId46">
        <w:r>
          <w:rPr>
            <w:rStyle w:val="Hyperlink"/>
          </w:rPr>
          <w:t xml:space="preserve">http://shiny.sccwrp.org/scape/</w:t>
        </w:r>
      </w:hyperlink>
    </w:p>
    <w:p>
      <w:pPr>
        <w:pStyle w:val="Heading1"/>
      </w:pPr>
      <w:bookmarkStart w:id="47" w:name="figures"/>
      <w:r>
        <w:t xml:space="preserve">Figures</w:t>
      </w:r>
      <w:bookmarkEnd w:id="47"/>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48"/>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49"/>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1"/>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4"/>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5"/>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6"/>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7"/>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59" w:name="tables"/>
      <w:r>
        <w:t xml:space="preserve">Tables</w:t>
      </w:r>
      <w:bookmarkEnd w:id="59"/>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0" w:name="references"/>
      <w:r>
        <w:t xml:space="preserve">References</w:t>
      </w:r>
      <w:bookmarkEnd w:id="60"/>
    </w:p>
    <w:bookmarkStart w:id="122" w:name="refs"/>
    <w:bookmarkStart w:id="62"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1">
        <w:r>
          <w:rPr>
            <w:rStyle w:val="Hyperlink"/>
          </w:rPr>
          <w:t xml:space="preserve">https://doi.org/10.1046/j.1365-2427.1997.d01-546.x</w:t>
        </w:r>
      </w:hyperlink>
      <w:r>
        <w:t xml:space="preserve">.</w:t>
      </w:r>
    </w:p>
    <w:bookmarkEnd w:id="62"/>
    <w:bookmarkStart w:id="64"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3">
        <w:r>
          <w:rPr>
            <w:rStyle w:val="Hyperlink"/>
          </w:rPr>
          <w:t xml:space="preserve">https://doi.org/10.1146/annurev.ecolsys.35.120202.110122</w:t>
        </w:r>
      </w:hyperlink>
      <w:r>
        <w:t xml:space="preserve">.</w:t>
      </w:r>
    </w:p>
    <w:bookmarkEnd w:id="64"/>
    <w:bookmarkStart w:id="65"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65"/>
    <w:bookmarkStart w:id="66"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6"/>
    <w:bookmarkStart w:id="68"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67">
        <w:r>
          <w:rPr>
            <w:rStyle w:val="Hyperlink"/>
          </w:rPr>
          <w:t xml:space="preserve">https://doi.org/10.1111/j.1526-100X.2007.00285.x</w:t>
        </w:r>
      </w:hyperlink>
      <w:r>
        <w:t xml:space="preserve">.</w:t>
      </w:r>
    </w:p>
    <w:bookmarkEnd w:id="68"/>
    <w:bookmarkStart w:id="70"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9">
        <w:r>
          <w:rPr>
            <w:rStyle w:val="Hyperlink"/>
          </w:rPr>
          <w:t xml:space="preserve">https://doi.org/10.1007/s10661-008-0256-z</w:t>
        </w:r>
      </w:hyperlink>
      <w:r>
        <w:t xml:space="preserve">.</w:t>
      </w:r>
    </w:p>
    <w:bookmarkEnd w:id="70"/>
    <w:bookmarkStart w:id="72"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1">
        <w:r>
          <w:rPr>
            <w:rStyle w:val="Hyperlink"/>
          </w:rPr>
          <w:t xml:space="preserve">https://doi.org/10.1016/j.ecolind.2013.07.006</w:t>
        </w:r>
      </w:hyperlink>
      <w:r>
        <w:t xml:space="preserve">.</w:t>
      </w:r>
    </w:p>
    <w:bookmarkEnd w:id="72"/>
    <w:bookmarkStart w:id="74"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73">
        <w:r>
          <w:rPr>
            <w:rStyle w:val="Hyperlink"/>
          </w:rPr>
          <w:t xml:space="preserve">https://doi.org/10.1111/j.1365-2427.2011.02696.x</w:t>
        </w:r>
      </w:hyperlink>
      <w:r>
        <w:t xml:space="preserve">.</w:t>
      </w:r>
    </w:p>
    <w:bookmarkEnd w:id="74"/>
    <w:bookmarkStart w:id="76"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75">
        <w:r>
          <w:rPr>
            <w:rStyle w:val="Hyperlink"/>
          </w:rPr>
          <w:t xml:space="preserve">https://doi.org/10.1002/etc.2059</w:t>
        </w:r>
      </w:hyperlink>
      <w:r>
        <w:t xml:space="preserve">.</w:t>
      </w:r>
    </w:p>
    <w:bookmarkEnd w:id="76"/>
    <w:bookmarkStart w:id="78"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77">
        <w:r>
          <w:rPr>
            <w:rStyle w:val="Hyperlink"/>
          </w:rPr>
          <w:t xml:space="preserve">https://doi.org/10.1111/j.1752-1688.2000.tb05717.x</w:t>
        </w:r>
      </w:hyperlink>
      <w:r>
        <w:t xml:space="preserve">.</w:t>
      </w:r>
    </w:p>
    <w:bookmarkEnd w:id="78"/>
    <w:bookmarkStart w:id="79"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79"/>
    <w:bookmarkStart w:id="81"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80">
        <w:r>
          <w:rPr>
            <w:rStyle w:val="Hyperlink"/>
          </w:rPr>
          <w:t xml:space="preserve">https://doi.org/10.1002/eap.1617</w:t>
        </w:r>
      </w:hyperlink>
      <w:r>
        <w:t xml:space="preserve">.</w:t>
      </w:r>
    </w:p>
    <w:bookmarkEnd w:id="81"/>
    <w:bookmarkStart w:id="83"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82">
        <w:r>
          <w:rPr>
            <w:rStyle w:val="Hyperlink"/>
          </w:rPr>
          <w:t xml:space="preserve">https://doi.org/10.1111/1752-1688.12372</w:t>
        </w:r>
      </w:hyperlink>
      <w:r>
        <w:t xml:space="preserve">.</w:t>
      </w:r>
    </w:p>
    <w:bookmarkEnd w:id="83"/>
    <w:bookmarkStart w:id="85"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84">
        <w:r>
          <w:rPr>
            <w:rStyle w:val="Hyperlink"/>
          </w:rPr>
          <w:t xml:space="preserve">https://doi.org/10.1371/journal.pone.0130710</w:t>
        </w:r>
      </w:hyperlink>
      <w:r>
        <w:t xml:space="preserve">.</w:t>
      </w:r>
    </w:p>
    <w:bookmarkEnd w:id="85"/>
    <w:bookmarkStart w:id="86"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86"/>
    <w:bookmarkStart w:id="88"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87">
        <w:r>
          <w:rPr>
            <w:rStyle w:val="Hyperlink"/>
          </w:rPr>
          <w:t xml:space="preserve">https://doi.org/10.1111/j.1752-1688.2011.00635.x</w:t>
        </w:r>
      </w:hyperlink>
      <w:r>
        <w:t xml:space="preserve">.</w:t>
      </w:r>
    </w:p>
    <w:bookmarkEnd w:id="88"/>
    <w:bookmarkStart w:id="90"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89">
        <w:r>
          <w:rPr>
            <w:rStyle w:val="Hyperlink"/>
          </w:rPr>
          <w:t xml:space="preserve">https://doi.org/10.1016/j.scitotenv.2015.07.083</w:t>
        </w:r>
      </w:hyperlink>
      <w:r>
        <w:t xml:space="preserve">.</w:t>
      </w:r>
    </w:p>
    <w:bookmarkEnd w:id="90"/>
    <w:bookmarkStart w:id="92"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91">
        <w:r>
          <w:rPr>
            <w:rStyle w:val="Hyperlink"/>
          </w:rPr>
          <w:t xml:space="preserve">https://doi.org/10.1007%2Fs00267-008-9151-1</w:t>
        </w:r>
      </w:hyperlink>
      <w:r>
        <w:t xml:space="preserve">.</w:t>
      </w:r>
    </w:p>
    <w:bookmarkEnd w:id="92"/>
    <w:bookmarkStart w:id="93"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93"/>
    <w:bookmarkStart w:id="94"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94"/>
    <w:bookmarkStart w:id="95"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95"/>
    <w:bookmarkStart w:id="97"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96">
        <w:r>
          <w:rPr>
            <w:rStyle w:val="Hyperlink"/>
          </w:rPr>
          <w:t xml:space="preserve">https://CRAN.R-project.org/package=quantregForest</w:t>
        </w:r>
      </w:hyperlink>
      <w:r>
        <w:t xml:space="preserve">.</w:t>
      </w:r>
    </w:p>
    <w:bookmarkEnd w:id="97"/>
    <w:bookmarkStart w:id="98"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98"/>
    <w:bookmarkStart w:id="100"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99">
        <w:r>
          <w:rPr>
            <w:rStyle w:val="Hyperlink"/>
          </w:rPr>
          <w:t xml:space="preserve">https://doi.org/10.1016/j.watres.2004.09.002</w:t>
        </w:r>
      </w:hyperlink>
      <w:r>
        <w:t xml:space="preserve">.</w:t>
      </w:r>
    </w:p>
    <w:bookmarkEnd w:id="100"/>
    <w:bookmarkStart w:id="101"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101"/>
    <w:bookmarkStart w:id="102"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02"/>
    <w:bookmarkStart w:id="103"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03"/>
    <w:bookmarkStart w:id="105"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04">
        <w:r>
          <w:rPr>
            <w:rStyle w:val="Hyperlink"/>
          </w:rPr>
          <w:t xml:space="preserve">https://doi.org/10.1890/11-0077.1</w:t>
        </w:r>
      </w:hyperlink>
      <w:r>
        <w:t xml:space="preserve">.</w:t>
      </w:r>
    </w:p>
    <w:bookmarkEnd w:id="105"/>
    <w:bookmarkStart w:id="106"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06"/>
    <w:bookmarkStart w:id="108"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07">
        <w:r>
          <w:rPr>
            <w:rStyle w:val="Hyperlink"/>
          </w:rPr>
          <w:t xml:space="preserve">https://doi.org/10.1111/gec3.12039</w:t>
        </w:r>
      </w:hyperlink>
      <w:r>
        <w:t xml:space="preserve">.</w:t>
      </w:r>
    </w:p>
    <w:bookmarkEnd w:id="108"/>
    <w:bookmarkStart w:id="110"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09">
        <w:r>
          <w:rPr>
            <w:rStyle w:val="Hyperlink"/>
          </w:rPr>
          <w:t xml:space="preserve">https://doi.org/10.1007/s10661-010-1385-8</w:t>
        </w:r>
      </w:hyperlink>
      <w:r>
        <w:t xml:space="preserve">.</w:t>
      </w:r>
    </w:p>
    <w:bookmarkEnd w:id="110"/>
    <w:bookmarkStart w:id="112"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11">
        <w:r>
          <w:rPr>
            <w:rStyle w:val="Hyperlink"/>
          </w:rPr>
          <w:t xml:space="preserve">https://doi.org/10.1046/j.1365-2427.2001.00758.x</w:t>
        </w:r>
      </w:hyperlink>
      <w:r>
        <w:t xml:space="preserve">.</w:t>
      </w:r>
    </w:p>
    <w:bookmarkEnd w:id="112"/>
    <w:bookmarkStart w:id="114"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13">
        <w:r>
          <w:rPr>
            <w:rStyle w:val="Hyperlink"/>
          </w:rPr>
          <w:t xml:space="preserve">https://doi.org/10.1111/j.1365-2664.2008.01548.x</w:t>
        </w:r>
      </w:hyperlink>
      <w:r>
        <w:t xml:space="preserve">.</w:t>
      </w:r>
    </w:p>
    <w:bookmarkEnd w:id="114"/>
    <w:bookmarkStart w:id="115" w:name="ref-USEPA16"/>
    <w:p>
      <w:pPr>
        <w:pStyle w:val="Bibliography"/>
      </w:pPr>
      <w:r>
        <w:t xml:space="preserve">USEPA (US Environmental Protection Agency). 2016. “National Rivers and Streams Assessment 2008-2009: A Collaborative Survey.” EPA-841-R-16-007. Washington, DC.</w:t>
      </w:r>
    </w:p>
    <w:bookmarkEnd w:id="115"/>
    <w:bookmarkStart w:id="116" w:name="ref-USGS99"/>
    <w:p>
      <w:pPr>
        <w:pStyle w:val="Bibliography"/>
      </w:pPr>
      <w:r>
        <w:t xml:space="preserve">USGS (US Geological Survey). 1999. “The quality of our nation’s waters: nutrients and pesticides.” Reston, Virginia.</w:t>
      </w:r>
    </w:p>
    <w:bookmarkEnd w:id="116"/>
    <w:bookmarkStart w:id="117" w:name="ref-USGS14"/>
    <w:p>
      <w:pPr>
        <w:pStyle w:val="Bibliography"/>
      </w:pPr>
      <w:r>
        <w:t xml:space="preserve">———. 2014. “National Hydrography Dataset available on the World Wide Web.”</w:t>
      </w:r>
    </w:p>
    <w:bookmarkEnd w:id="117"/>
    <w:bookmarkStart w:id="119"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18">
        <w:r>
          <w:rPr>
            <w:rStyle w:val="Hyperlink"/>
          </w:rPr>
          <w:t xml:space="preserve">https://doi.org/10.1023/A:1023374524254</w:t>
        </w:r>
      </w:hyperlink>
      <w:r>
        <w:t xml:space="preserve">.</w:t>
      </w:r>
    </w:p>
    <w:bookmarkEnd w:id="119"/>
    <w:bookmarkStart w:id="12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20">
        <w:r>
          <w:rPr>
            <w:rStyle w:val="Hyperlink"/>
          </w:rPr>
          <w:t xml:space="preserve">https://doi.org/10.1577/1548-8446(1997)022%3C0006:IOWLUO%3E2.0.CO;2</w:t>
        </w:r>
      </w:hyperlink>
      <w:r>
        <w:t xml:space="preserve">.</w:t>
      </w:r>
    </w:p>
    <w:bookmarkEnd w:id="121"/>
    <w:bookmarkEnd w:id="12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hyperlink" Id="rId46" Target="http://shiny.sccwrp.org/scape/" TargetMode="External" /><Relationship Type="http://schemas.openxmlformats.org/officeDocument/2006/relationships/hyperlink" Id="rId96" Target="https://CRAN.R-project.org/package=quantregForest" TargetMode="External" /><Relationship Type="http://schemas.openxmlformats.org/officeDocument/2006/relationships/hyperlink" Id="rId80" Target="https://doi.org/10.1002/eap.1617" TargetMode="External" /><Relationship Type="http://schemas.openxmlformats.org/officeDocument/2006/relationships/hyperlink" Id="rId75" Target="https://doi.org/10.1002/etc.2059" TargetMode="External" /><Relationship Type="http://schemas.openxmlformats.org/officeDocument/2006/relationships/hyperlink" Id="rId91" Target="https://doi.org/10.1007%2Fs00267-008-9151-1" TargetMode="External" /><Relationship Type="http://schemas.openxmlformats.org/officeDocument/2006/relationships/hyperlink" Id="rId69" Target="https://doi.org/10.1007/s10661-008-0256-z" TargetMode="External" /><Relationship Type="http://schemas.openxmlformats.org/officeDocument/2006/relationships/hyperlink" Id="rId109"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9" Target="https://doi.org/10.1016/j.scitotenv.2015.07.083" TargetMode="External" /><Relationship Type="http://schemas.openxmlformats.org/officeDocument/2006/relationships/hyperlink" Id="rId99" Target="https://doi.org/10.1016/j.watres.2004.09.002" TargetMode="External" /><Relationship Type="http://schemas.openxmlformats.org/officeDocument/2006/relationships/hyperlink" Id="rId118"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11" Target="https://doi.org/10.1046/j.1365-2427.2001.00758.x" TargetMode="External" /><Relationship Type="http://schemas.openxmlformats.org/officeDocument/2006/relationships/hyperlink" Id="rId82" Target="https://doi.org/10.1111/1752-1688.12372" TargetMode="External" /><Relationship Type="http://schemas.openxmlformats.org/officeDocument/2006/relationships/hyperlink" Id="rId107" Target="https://doi.org/10.1111/gec3.12039" TargetMode="External" /><Relationship Type="http://schemas.openxmlformats.org/officeDocument/2006/relationships/hyperlink" Id="rId73" Target="https://doi.org/10.1111/j.1365-2427.2011.02696.x" TargetMode="External" /><Relationship Type="http://schemas.openxmlformats.org/officeDocument/2006/relationships/hyperlink" Id="rId113"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7" Target="https://doi.org/10.1111/j.1752-1688.2000.tb05717.x" TargetMode="External" /><Relationship Type="http://schemas.openxmlformats.org/officeDocument/2006/relationships/hyperlink" Id="rId87"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4" Target="https://doi.org/10.1371/journal.pone.0130710" TargetMode="External" /><Relationship Type="http://schemas.openxmlformats.org/officeDocument/2006/relationships/hyperlink" Id="rId120" Target="https://doi.org/10.1577/1548-8446(1997)022%3C0006:IOWLUO%3E2.0.CO;2" TargetMode="External" /><Relationship Type="http://schemas.openxmlformats.org/officeDocument/2006/relationships/hyperlink" Id="rId104"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6" Target="http://shiny.sccwrp.org/scape/" TargetMode="External" /><Relationship Type="http://schemas.openxmlformats.org/officeDocument/2006/relationships/hyperlink" Id="rId96" Target="https://CRAN.R-project.org/package=quantregForest" TargetMode="External" /><Relationship Type="http://schemas.openxmlformats.org/officeDocument/2006/relationships/hyperlink" Id="rId80" Target="https://doi.org/10.1002/eap.1617" TargetMode="External" /><Relationship Type="http://schemas.openxmlformats.org/officeDocument/2006/relationships/hyperlink" Id="rId75" Target="https://doi.org/10.1002/etc.2059" TargetMode="External" /><Relationship Type="http://schemas.openxmlformats.org/officeDocument/2006/relationships/hyperlink" Id="rId91" Target="https://doi.org/10.1007%2Fs00267-008-9151-1" TargetMode="External" /><Relationship Type="http://schemas.openxmlformats.org/officeDocument/2006/relationships/hyperlink" Id="rId69" Target="https://doi.org/10.1007/s10661-008-0256-z" TargetMode="External" /><Relationship Type="http://schemas.openxmlformats.org/officeDocument/2006/relationships/hyperlink" Id="rId109" Target="https://doi.org/10.1007/s10661-010-1385-8" TargetMode="External" /><Relationship Type="http://schemas.openxmlformats.org/officeDocument/2006/relationships/hyperlink" Id="rId71" Target="https://doi.org/10.1016/j.ecolind.2013.07.006" TargetMode="External" /><Relationship Type="http://schemas.openxmlformats.org/officeDocument/2006/relationships/hyperlink" Id="rId89" Target="https://doi.org/10.1016/j.scitotenv.2015.07.083" TargetMode="External" /><Relationship Type="http://schemas.openxmlformats.org/officeDocument/2006/relationships/hyperlink" Id="rId99" Target="https://doi.org/10.1016/j.watres.2004.09.002" TargetMode="External" /><Relationship Type="http://schemas.openxmlformats.org/officeDocument/2006/relationships/hyperlink" Id="rId118" Target="https://doi.org/10.1023/A:1023374524254" TargetMode="External" /><Relationship Type="http://schemas.openxmlformats.org/officeDocument/2006/relationships/hyperlink" Id="rId61" Target="https://doi.org/10.1046/j.1365-2427.1997.d01-546.x" TargetMode="External" /><Relationship Type="http://schemas.openxmlformats.org/officeDocument/2006/relationships/hyperlink" Id="rId111" Target="https://doi.org/10.1046/j.1365-2427.2001.00758.x" TargetMode="External" /><Relationship Type="http://schemas.openxmlformats.org/officeDocument/2006/relationships/hyperlink" Id="rId82" Target="https://doi.org/10.1111/1752-1688.12372" TargetMode="External" /><Relationship Type="http://schemas.openxmlformats.org/officeDocument/2006/relationships/hyperlink" Id="rId107" Target="https://doi.org/10.1111/gec3.12039" TargetMode="External" /><Relationship Type="http://schemas.openxmlformats.org/officeDocument/2006/relationships/hyperlink" Id="rId73" Target="https://doi.org/10.1111/j.1365-2427.2011.02696.x" TargetMode="External" /><Relationship Type="http://schemas.openxmlformats.org/officeDocument/2006/relationships/hyperlink" Id="rId113" Target="https://doi.org/10.1111/j.1365-2664.2008.01548.x" TargetMode="External" /><Relationship Type="http://schemas.openxmlformats.org/officeDocument/2006/relationships/hyperlink" Id="rId67" Target="https://doi.org/10.1111/j.1526-100X.2007.00285.x" TargetMode="External" /><Relationship Type="http://schemas.openxmlformats.org/officeDocument/2006/relationships/hyperlink" Id="rId77" Target="https://doi.org/10.1111/j.1752-1688.2000.tb05717.x" TargetMode="External" /><Relationship Type="http://schemas.openxmlformats.org/officeDocument/2006/relationships/hyperlink" Id="rId87" Target="https://doi.org/10.1111/j.1752-1688.2011.00635.x" TargetMode="External" /><Relationship Type="http://schemas.openxmlformats.org/officeDocument/2006/relationships/hyperlink" Id="rId63" Target="https://doi.org/10.1146/annurev.ecolsys.35.120202.110122" TargetMode="External" /><Relationship Type="http://schemas.openxmlformats.org/officeDocument/2006/relationships/hyperlink" Id="rId84" Target="https://doi.org/10.1371/journal.pone.0130710" TargetMode="External" /><Relationship Type="http://schemas.openxmlformats.org/officeDocument/2006/relationships/hyperlink" Id="rId120" Target="https://doi.org/10.1577/1548-8446(1997)022%3C0006:IOWLUO%3E2.0.CO;2" TargetMode="External" /><Relationship Type="http://schemas.openxmlformats.org/officeDocument/2006/relationships/hyperlink" Id="rId104"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2018-05-09T20:00:52Z</dcterms:created>
  <dcterms:modified xsi:type="dcterms:W3CDTF">2018-05-09T20:00:52Z</dcterms:modified>
</cp:coreProperties>
</file>